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附件</w:t>
      </w:r>
      <w:r>
        <w:rPr>
          <w:rFonts w:ascii="黑体" w:hAnsi="宋体" w:eastAsia="黑体"/>
          <w:sz w:val="30"/>
          <w:szCs w:val="30"/>
        </w:rPr>
        <w:t>1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煤电项目预期投资回报率计算方法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8" w:lineRule="exact"/>
        <w:ind w:firstLine="876" w:firstLineChars="300"/>
        <w:rPr>
          <w:rFonts w:ascii="仿宋_GB2312" w:eastAsia="仿宋_GB2312"/>
          <w:i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lr</w:t>
      </w:r>
      <w:r>
        <w:rPr>
          <w:rFonts w:hint="eastAsia" w:ascii="仿宋_GB2312" w:eastAsia="仿宋_GB2312"/>
          <w:spacing w:val="-4"/>
          <w:sz w:val="30"/>
          <w:szCs w:val="30"/>
        </w:rPr>
        <w:t xml:space="preserve"> = [(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P</w:t>
      </w:r>
      <w:r>
        <w:rPr>
          <w:rFonts w:hint="eastAsia" w:ascii="仿宋_GB2312" w:eastAsia="仿宋_GB2312"/>
          <w:spacing w:val="-4"/>
          <w:sz w:val="30"/>
          <w:szCs w:val="30"/>
        </w:rPr>
        <w:t>-</w:t>
      </w:r>
      <w:r>
        <w:rPr>
          <w:rFonts w:hint="eastAsia" w:ascii="仿宋_GB2312" w:eastAsia="仿宋_GB2312"/>
          <w:i/>
          <w:spacing w:val="-4"/>
          <w:sz w:val="30"/>
          <w:szCs w:val="30"/>
        </w:rPr>
        <w:t xml:space="preserve"> R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ca</w:t>
      </w:r>
      <w:r>
        <w:rPr>
          <w:rFonts w:hint="eastAsia" w:ascii="仿宋_GB2312" w:eastAsia="仿宋_GB2312"/>
          <w:spacing w:val="-4"/>
          <w:sz w:val="30"/>
          <w:szCs w:val="30"/>
        </w:rPr>
        <w:t>×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P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ca</w:t>
      </w:r>
      <w:r>
        <w:rPr>
          <w:rFonts w:hint="eastAsia" w:ascii="仿宋_GB2312" w:eastAsia="仿宋_GB2312"/>
          <w:spacing w:val="-4"/>
          <w:sz w:val="30"/>
          <w:szCs w:val="30"/>
        </w:rPr>
        <w:t>/10</w:t>
      </w:r>
      <w:r>
        <w:rPr>
          <w:rFonts w:hint="eastAsia" w:ascii="仿宋_GB2312" w:eastAsia="仿宋_GB2312"/>
          <w:spacing w:val="-4"/>
          <w:sz w:val="30"/>
          <w:szCs w:val="30"/>
          <w:vertAlign w:val="superscript"/>
        </w:rPr>
        <w:t>6</w:t>
      </w:r>
      <w:r>
        <w:rPr>
          <w:rFonts w:hint="eastAsia" w:ascii="仿宋_GB2312" w:eastAsia="仿宋_GB2312"/>
          <w:spacing w:val="-4"/>
          <w:sz w:val="30"/>
          <w:szCs w:val="30"/>
        </w:rPr>
        <w:t xml:space="preserve">) 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T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v</w:t>
      </w:r>
      <w:r>
        <w:rPr>
          <w:rFonts w:hint="eastAsia" w:ascii="仿宋_GB2312" w:eastAsia="仿宋_GB2312"/>
          <w:spacing w:val="-4"/>
          <w:sz w:val="30"/>
          <w:szCs w:val="30"/>
        </w:rPr>
        <w:t xml:space="preserve"> /</w:t>
      </w:r>
      <w:r>
        <w:rPr>
          <w:rFonts w:hint="eastAsia" w:ascii="仿宋_GB2312" w:eastAsia="仿宋_GB2312"/>
          <w:i/>
          <w:spacing w:val="-4"/>
          <w:sz w:val="30"/>
          <w:szCs w:val="30"/>
        </w:rPr>
        <w:t xml:space="preserve"> C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E</w:t>
      </w:r>
      <w:r>
        <w:rPr>
          <w:rFonts w:hint="eastAsia" w:ascii="仿宋_GB2312" w:eastAsia="仿宋_GB2312"/>
          <w:spacing w:val="-4"/>
          <w:sz w:val="30"/>
          <w:szCs w:val="30"/>
        </w:rPr>
        <w:t>- (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zj</w:t>
      </w:r>
      <w:r>
        <w:rPr>
          <w:rFonts w:hint="eastAsia" w:ascii="仿宋_GB2312" w:eastAsia="仿宋_GB2312"/>
          <w:spacing w:val="-4"/>
          <w:sz w:val="30"/>
          <w:szCs w:val="30"/>
        </w:rPr>
        <w:t>+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r</w:t>
      </w:r>
      <w:r>
        <w:rPr>
          <w:rFonts w:hint="eastAsia" w:ascii="仿宋_GB2312" w:eastAsia="仿宋_GB2312"/>
          <w:spacing w:val="-4"/>
          <w:sz w:val="30"/>
          <w:szCs w:val="30"/>
        </w:rPr>
        <w:t>×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ll</w:t>
      </w:r>
      <w:r>
        <w:rPr>
          <w:rFonts w:hint="eastAsia" w:ascii="仿宋_GB2312" w:eastAsia="仿宋_GB2312"/>
          <w:spacing w:val="-4"/>
          <w:sz w:val="30"/>
          <w:szCs w:val="30"/>
        </w:rPr>
        <w:t>+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cb</w:t>
      </w:r>
      <w:r>
        <w:rPr>
          <w:rFonts w:hint="eastAsia" w:ascii="仿宋_GB2312" w:eastAsia="仿宋_GB2312"/>
          <w:spacing w:val="-4"/>
          <w:sz w:val="30"/>
          <w:szCs w:val="30"/>
        </w:rPr>
        <w:t>)]/ (1-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r</w:t>
      </w:r>
      <w:r>
        <w:rPr>
          <w:rFonts w:hint="eastAsia" w:ascii="仿宋_GB2312" w:eastAsia="仿宋_GB2312"/>
          <w:spacing w:val="-4"/>
          <w:sz w:val="30"/>
          <w:szCs w:val="30"/>
        </w:rPr>
        <w:t>)</w:t>
      </w:r>
    </w:p>
    <w:p>
      <w:pPr>
        <w:tabs>
          <w:tab w:val="left" w:pos="680"/>
          <w:tab w:val="left" w:pos="1260"/>
        </w:tabs>
        <w:spacing w:line="588" w:lineRule="exact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其中，</w:t>
      </w: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lr</w:t>
      </w:r>
      <w:r>
        <w:rPr>
          <w:rFonts w:hint="eastAsia" w:ascii="仿宋_GB2312" w:eastAsia="仿宋_GB2312"/>
          <w:spacing w:val="-4"/>
          <w:sz w:val="30"/>
          <w:szCs w:val="30"/>
        </w:rPr>
        <w:t>：煤电项目资本金投资回报率；</w:t>
      </w:r>
    </w:p>
    <w:p>
      <w:pPr>
        <w:tabs>
          <w:tab w:val="left" w:pos="680"/>
          <w:tab w:val="left" w:pos="1260"/>
        </w:tabs>
        <w:spacing w:line="588" w:lineRule="exact"/>
        <w:ind w:left="1373" w:leftChars="405" w:hanging="523" w:hangingChars="179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P</w:t>
      </w:r>
      <w:r>
        <w:rPr>
          <w:rFonts w:hint="eastAsia" w:ascii="仿宋_GB2312" w:eastAsia="仿宋_GB2312"/>
          <w:spacing w:val="-4"/>
          <w:sz w:val="30"/>
          <w:szCs w:val="30"/>
        </w:rPr>
        <w:t>：煤电项目上网电价（不含税价格），单位为“元/千瓦时”；</w:t>
      </w:r>
    </w:p>
    <w:p>
      <w:pPr>
        <w:tabs>
          <w:tab w:val="left" w:pos="680"/>
          <w:tab w:val="left" w:pos="1260"/>
        </w:tabs>
        <w:spacing w:line="588" w:lineRule="exact"/>
        <w:ind w:firstLine="876" w:firstLineChars="300"/>
        <w:outlineLvl w:val="0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C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E</w:t>
      </w:r>
      <w:r>
        <w:rPr>
          <w:rFonts w:hint="eastAsia" w:ascii="仿宋_GB2312" w:eastAsia="仿宋_GB2312"/>
          <w:spacing w:val="-4"/>
          <w:sz w:val="30"/>
          <w:szCs w:val="30"/>
        </w:rPr>
        <w:t>：单位千瓦动态投资，单位为“元/千瓦”；</w:t>
      </w:r>
    </w:p>
    <w:p>
      <w:pPr>
        <w:tabs>
          <w:tab w:val="left" w:pos="680"/>
          <w:tab w:val="left" w:pos="1260"/>
        </w:tabs>
        <w:spacing w:line="588" w:lineRule="exact"/>
        <w:ind w:firstLine="876" w:firstLineChars="300"/>
        <w:outlineLvl w:val="0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T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v</w:t>
      </w:r>
      <w:r>
        <w:rPr>
          <w:rFonts w:hint="eastAsia" w:ascii="仿宋_GB2312" w:eastAsia="仿宋_GB2312"/>
          <w:spacing w:val="-4"/>
          <w:sz w:val="30"/>
          <w:szCs w:val="30"/>
        </w:rPr>
        <w:t>：预计的年利用小时数，单位为“小时”；</w:t>
      </w:r>
    </w:p>
    <w:p>
      <w:pPr>
        <w:tabs>
          <w:tab w:val="left" w:pos="680"/>
          <w:tab w:val="left" w:pos="1260"/>
        </w:tabs>
        <w:spacing w:line="588" w:lineRule="exact"/>
        <w:ind w:firstLine="876" w:firstLineChars="300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zj</w:t>
      </w:r>
      <w:r>
        <w:rPr>
          <w:rFonts w:hint="eastAsia" w:ascii="仿宋_GB2312" w:eastAsia="仿宋_GB2312"/>
          <w:spacing w:val="-4"/>
          <w:sz w:val="30"/>
          <w:szCs w:val="30"/>
        </w:rPr>
        <w:t>：折旧率，按20年折旧年限，取5%；</w:t>
      </w:r>
    </w:p>
    <w:p>
      <w:pPr>
        <w:tabs>
          <w:tab w:val="left" w:pos="680"/>
          <w:tab w:val="left" w:pos="1260"/>
        </w:tabs>
        <w:spacing w:line="588" w:lineRule="exact"/>
        <w:ind w:firstLine="876" w:firstLineChars="300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r</w:t>
      </w:r>
      <w:r>
        <w:rPr>
          <w:rFonts w:hint="eastAsia" w:ascii="仿宋_GB2312" w:eastAsia="仿宋_GB2312"/>
          <w:spacing w:val="-4"/>
          <w:sz w:val="30"/>
          <w:szCs w:val="30"/>
        </w:rPr>
        <w:t>：贷款占总投资的比例，电力项目一般为80％；</w:t>
      </w:r>
    </w:p>
    <w:p>
      <w:pPr>
        <w:tabs>
          <w:tab w:val="left" w:pos="680"/>
          <w:tab w:val="left" w:pos="1260"/>
        </w:tabs>
        <w:spacing w:line="588" w:lineRule="exact"/>
        <w:ind w:firstLine="876" w:firstLineChars="300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ll</w:t>
      </w:r>
      <w:r>
        <w:rPr>
          <w:rFonts w:hint="eastAsia" w:ascii="仿宋_GB2312" w:eastAsia="仿宋_GB2312"/>
          <w:spacing w:val="-4"/>
          <w:sz w:val="30"/>
          <w:szCs w:val="30"/>
        </w:rPr>
        <w:t>：贷款利率；</w:t>
      </w:r>
    </w:p>
    <w:p>
      <w:pPr>
        <w:autoSpaceDE w:val="0"/>
        <w:autoSpaceDN w:val="0"/>
        <w:adjustRightInd w:val="0"/>
        <w:spacing w:line="588" w:lineRule="exact"/>
        <w:ind w:left="1460" w:hanging="1460" w:hangingChars="5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 xml:space="preserve">      k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cb</w:t>
      </w:r>
      <w:r>
        <w:rPr>
          <w:rFonts w:hint="eastAsia" w:ascii="仿宋_GB2312" w:eastAsia="仿宋_GB2312"/>
          <w:spacing w:val="-4"/>
          <w:sz w:val="30"/>
          <w:szCs w:val="30"/>
        </w:rPr>
        <w:t>：经营成本率，全年经营成本与总投资的比率，包括修理费，人工工资福利及保险、材料费、其它费用等。</w:t>
      </w:r>
      <w:r>
        <w:rPr>
          <w:rFonts w:hint="eastAsia" w:ascii="仿宋_GB2312" w:eastAsia="仿宋_GB2312"/>
          <w:kern w:val="0"/>
          <w:sz w:val="30"/>
          <w:szCs w:val="30"/>
        </w:rPr>
        <w:t>以</w:t>
      </w:r>
      <w:r>
        <w:rPr>
          <w:rFonts w:hint="eastAsia" w:ascii="仿宋_GB2312" w:eastAsia="仿宋_GB2312"/>
          <w:i/>
          <w:kern w:val="0"/>
          <w:sz w:val="30"/>
          <w:szCs w:val="30"/>
        </w:rPr>
        <w:t>K</w:t>
      </w:r>
      <w:r>
        <w:rPr>
          <w:rFonts w:hint="eastAsia" w:ascii="仿宋_GB2312" w:eastAsia="仿宋_GB2312"/>
          <w:kern w:val="0"/>
          <w:sz w:val="30"/>
          <w:szCs w:val="30"/>
          <w:vertAlign w:val="subscript"/>
        </w:rPr>
        <w:t>cb</w:t>
      </w:r>
      <w:r>
        <w:rPr>
          <w:rFonts w:hint="eastAsia" w:ascii="仿宋_GB2312" w:eastAsia="仿宋_GB2312"/>
          <w:kern w:val="0"/>
          <w:sz w:val="30"/>
          <w:szCs w:val="30"/>
        </w:rPr>
        <w:t>取2.5%为基准，初步测算典型煤电项目投资回报率；而后，将初算的投资回报率代入计算式：</w:t>
      </w:r>
      <w:r>
        <w:rPr>
          <w:rFonts w:hint="eastAsia" w:ascii="仿宋_GB2312" w:eastAsia="仿宋_GB2312"/>
          <w:i/>
          <w:kern w:val="0"/>
          <w:sz w:val="30"/>
          <w:szCs w:val="30"/>
        </w:rPr>
        <w:t>K</w:t>
      </w:r>
      <w:r>
        <w:rPr>
          <w:rFonts w:hint="eastAsia" w:ascii="仿宋_GB2312" w:eastAsia="仿宋_GB2312"/>
          <w:kern w:val="0"/>
          <w:sz w:val="30"/>
          <w:szCs w:val="30"/>
          <w:vertAlign w:val="subscript"/>
        </w:rPr>
        <w:t>cb</w:t>
      </w:r>
      <w:r>
        <w:rPr>
          <w:rFonts w:hint="eastAsia" w:ascii="仿宋_GB2312" w:eastAsia="仿宋_GB2312"/>
          <w:kern w:val="0"/>
          <w:sz w:val="30"/>
          <w:szCs w:val="30"/>
        </w:rPr>
        <w:t>=0.0737</w:t>
      </w:r>
      <w:r>
        <w:rPr>
          <w:rFonts w:hint="eastAsia" w:ascii="仿宋_GB2312" w:hAnsi="Arial" w:eastAsia="仿宋_GB2312" w:cs="Arial"/>
          <w:color w:val="333333"/>
          <w:sz w:val="30"/>
          <w:szCs w:val="30"/>
          <w:shd w:val="clear" w:color="auto" w:fill="FFFFFF"/>
        </w:rPr>
        <w:t>×</w:t>
      </w:r>
      <w:r>
        <w:rPr>
          <w:rFonts w:hint="eastAsia" w:ascii="仿宋_GB2312" w:eastAsia="仿宋_GB2312"/>
          <w:kern w:val="0"/>
          <w:sz w:val="30"/>
          <w:szCs w:val="30"/>
        </w:rPr>
        <w:t>初算的项目投资回报率+0.0118，进而得到适用于具体项目的</w:t>
      </w:r>
      <w:r>
        <w:rPr>
          <w:rFonts w:hint="eastAsia" w:ascii="仿宋_GB2312" w:eastAsia="仿宋_GB2312"/>
          <w:i/>
          <w:kern w:val="0"/>
          <w:sz w:val="30"/>
          <w:szCs w:val="30"/>
        </w:rPr>
        <w:t>K</w:t>
      </w:r>
      <w:r>
        <w:rPr>
          <w:rFonts w:hint="eastAsia" w:ascii="仿宋_GB2312" w:eastAsia="仿宋_GB2312"/>
          <w:kern w:val="0"/>
          <w:sz w:val="30"/>
          <w:szCs w:val="30"/>
          <w:vertAlign w:val="subscript"/>
        </w:rPr>
        <w:t>cb</w:t>
      </w:r>
      <w:r>
        <w:rPr>
          <w:rFonts w:hint="eastAsia" w:ascii="仿宋_GB2312" w:eastAsia="仿宋_GB2312"/>
          <w:kern w:val="0"/>
          <w:sz w:val="30"/>
          <w:szCs w:val="30"/>
        </w:rPr>
        <w:t>建议取值。</w:t>
      </w:r>
    </w:p>
    <w:p>
      <w:pPr>
        <w:tabs>
          <w:tab w:val="left" w:pos="680"/>
          <w:tab w:val="left" w:pos="1260"/>
        </w:tabs>
        <w:spacing w:line="588" w:lineRule="exact"/>
        <w:ind w:firstLine="876" w:firstLineChars="300"/>
        <w:outlineLvl w:val="0"/>
        <w:rPr>
          <w:rFonts w:ascii="仿宋_GB2312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R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ca</w:t>
      </w:r>
      <w:r>
        <w:rPr>
          <w:rFonts w:hint="eastAsia" w:ascii="仿宋_GB2312" w:eastAsia="仿宋_GB2312"/>
          <w:spacing w:val="-4"/>
          <w:sz w:val="30"/>
          <w:szCs w:val="30"/>
        </w:rPr>
        <w:t>：机组发电煤耗，单位为“克/千瓦时”；</w:t>
      </w:r>
    </w:p>
    <w:p>
      <w:pPr>
        <w:tabs>
          <w:tab w:val="left" w:pos="680"/>
          <w:tab w:val="left" w:pos="1260"/>
        </w:tabs>
        <w:spacing w:line="588" w:lineRule="exact"/>
        <w:ind w:left="1580" w:leftChars="405" w:hanging="730" w:hangingChars="250"/>
        <w:rPr>
          <w:rFonts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i/>
          <w:spacing w:val="-4"/>
          <w:sz w:val="30"/>
          <w:szCs w:val="30"/>
        </w:rPr>
        <w:t>P</w:t>
      </w:r>
      <w:r>
        <w:rPr>
          <w:rFonts w:hint="eastAsia" w:ascii="仿宋_GB2312" w:eastAsia="仿宋_GB2312"/>
          <w:spacing w:val="-4"/>
          <w:sz w:val="30"/>
          <w:szCs w:val="30"/>
          <w:vertAlign w:val="subscript"/>
        </w:rPr>
        <w:t>ca</w:t>
      </w:r>
      <w:r>
        <w:rPr>
          <w:rFonts w:hint="eastAsia" w:ascii="仿宋_GB2312" w:eastAsia="仿宋_GB2312"/>
          <w:spacing w:val="-4"/>
          <w:sz w:val="30"/>
          <w:szCs w:val="30"/>
        </w:rPr>
        <w:t>：预计标煤价格（含税），单位为“元/吨”，参照近3年中国电煤价格指数（折算至7000大卡热值标煤）通过加权得出，由近及远权重分别取0.5、0.3和0.2。考虑2016年煤价的异常波动，并综合各方对未来煤价走势的判断，在本次测试中，适当加重了2016年第四季度煤价在2016年全年均价计算中的权重。</w:t>
      </w:r>
      <w:bookmarkStart w:id="0" w:name="_GoBack"/>
      <w:bookmarkEnd w:id="0"/>
    </w:p>
    <w:sectPr>
      <w:footerReference r:id="rId3" w:type="default"/>
      <w:pgSz w:w="11906" w:h="16838"/>
      <w:pgMar w:top="1928" w:right="1616" w:bottom="1474" w:left="161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8"/>
    <w:rsid w:val="00000987"/>
    <w:rsid w:val="000207E8"/>
    <w:rsid w:val="00026E0C"/>
    <w:rsid w:val="00031ACC"/>
    <w:rsid w:val="000424F5"/>
    <w:rsid w:val="0004654E"/>
    <w:rsid w:val="00047176"/>
    <w:rsid w:val="00077CAF"/>
    <w:rsid w:val="000809CA"/>
    <w:rsid w:val="000842DF"/>
    <w:rsid w:val="00087A39"/>
    <w:rsid w:val="000A44F6"/>
    <w:rsid w:val="000B5252"/>
    <w:rsid w:val="000C0027"/>
    <w:rsid w:val="000C07DC"/>
    <w:rsid w:val="000C22DB"/>
    <w:rsid w:val="000D092C"/>
    <w:rsid w:val="000D329B"/>
    <w:rsid w:val="000D3D68"/>
    <w:rsid w:val="000E2A63"/>
    <w:rsid w:val="000F4E3D"/>
    <w:rsid w:val="000F6281"/>
    <w:rsid w:val="001003FB"/>
    <w:rsid w:val="00133E4B"/>
    <w:rsid w:val="001401E0"/>
    <w:rsid w:val="00142464"/>
    <w:rsid w:val="001436D4"/>
    <w:rsid w:val="00167A0C"/>
    <w:rsid w:val="00174271"/>
    <w:rsid w:val="0018722F"/>
    <w:rsid w:val="00195A8A"/>
    <w:rsid w:val="001C35D8"/>
    <w:rsid w:val="001C38F5"/>
    <w:rsid w:val="001D74DC"/>
    <w:rsid w:val="001E3B02"/>
    <w:rsid w:val="002069EA"/>
    <w:rsid w:val="00206E28"/>
    <w:rsid w:val="002125AF"/>
    <w:rsid w:val="002312D4"/>
    <w:rsid w:val="00233111"/>
    <w:rsid w:val="00244FB8"/>
    <w:rsid w:val="00260CE3"/>
    <w:rsid w:val="002625EA"/>
    <w:rsid w:val="002739EF"/>
    <w:rsid w:val="00273B1D"/>
    <w:rsid w:val="00277B57"/>
    <w:rsid w:val="00290128"/>
    <w:rsid w:val="00290797"/>
    <w:rsid w:val="00290EC7"/>
    <w:rsid w:val="002A41BE"/>
    <w:rsid w:val="002B139D"/>
    <w:rsid w:val="002B4E02"/>
    <w:rsid w:val="002C4AD7"/>
    <w:rsid w:val="002D46B4"/>
    <w:rsid w:val="002E420B"/>
    <w:rsid w:val="002F1C02"/>
    <w:rsid w:val="003022CA"/>
    <w:rsid w:val="00303F36"/>
    <w:rsid w:val="00304C20"/>
    <w:rsid w:val="003105B8"/>
    <w:rsid w:val="00325EAB"/>
    <w:rsid w:val="00327C0F"/>
    <w:rsid w:val="00332335"/>
    <w:rsid w:val="0033305C"/>
    <w:rsid w:val="003378A0"/>
    <w:rsid w:val="003419B5"/>
    <w:rsid w:val="003465AA"/>
    <w:rsid w:val="00347BA2"/>
    <w:rsid w:val="003713D9"/>
    <w:rsid w:val="003864D2"/>
    <w:rsid w:val="00390120"/>
    <w:rsid w:val="003A4C70"/>
    <w:rsid w:val="003B24D4"/>
    <w:rsid w:val="003C209C"/>
    <w:rsid w:val="003C42E2"/>
    <w:rsid w:val="003C6418"/>
    <w:rsid w:val="003C761C"/>
    <w:rsid w:val="003E4198"/>
    <w:rsid w:val="003E7E75"/>
    <w:rsid w:val="003F41DD"/>
    <w:rsid w:val="004056FB"/>
    <w:rsid w:val="00407BF0"/>
    <w:rsid w:val="00410DD9"/>
    <w:rsid w:val="00427B38"/>
    <w:rsid w:val="0043300F"/>
    <w:rsid w:val="00433809"/>
    <w:rsid w:val="0044030A"/>
    <w:rsid w:val="004409F2"/>
    <w:rsid w:val="00441928"/>
    <w:rsid w:val="00446E00"/>
    <w:rsid w:val="00477149"/>
    <w:rsid w:val="004A605E"/>
    <w:rsid w:val="004A68BD"/>
    <w:rsid w:val="004B4687"/>
    <w:rsid w:val="004B68E4"/>
    <w:rsid w:val="004C56DC"/>
    <w:rsid w:val="004D6D47"/>
    <w:rsid w:val="004F5291"/>
    <w:rsid w:val="004F5505"/>
    <w:rsid w:val="00500B03"/>
    <w:rsid w:val="005044A0"/>
    <w:rsid w:val="00515079"/>
    <w:rsid w:val="00515A9D"/>
    <w:rsid w:val="00525AC6"/>
    <w:rsid w:val="00526D16"/>
    <w:rsid w:val="00531E63"/>
    <w:rsid w:val="00552178"/>
    <w:rsid w:val="00552FA3"/>
    <w:rsid w:val="00553244"/>
    <w:rsid w:val="00555B07"/>
    <w:rsid w:val="00566A2B"/>
    <w:rsid w:val="00574E64"/>
    <w:rsid w:val="00577880"/>
    <w:rsid w:val="00594B5B"/>
    <w:rsid w:val="00596790"/>
    <w:rsid w:val="005A4396"/>
    <w:rsid w:val="005C3CC4"/>
    <w:rsid w:val="005C435E"/>
    <w:rsid w:val="005C4E9F"/>
    <w:rsid w:val="005C7DF4"/>
    <w:rsid w:val="005D1AEB"/>
    <w:rsid w:val="005D1BEA"/>
    <w:rsid w:val="005D263D"/>
    <w:rsid w:val="005F632D"/>
    <w:rsid w:val="005F75D2"/>
    <w:rsid w:val="00612BAB"/>
    <w:rsid w:val="0061406A"/>
    <w:rsid w:val="00624691"/>
    <w:rsid w:val="00625360"/>
    <w:rsid w:val="00640E26"/>
    <w:rsid w:val="00644941"/>
    <w:rsid w:val="006636A3"/>
    <w:rsid w:val="00663984"/>
    <w:rsid w:val="00667592"/>
    <w:rsid w:val="006B03DB"/>
    <w:rsid w:val="006D00E2"/>
    <w:rsid w:val="006D6C77"/>
    <w:rsid w:val="006D7294"/>
    <w:rsid w:val="006D741D"/>
    <w:rsid w:val="006E527C"/>
    <w:rsid w:val="006F4224"/>
    <w:rsid w:val="0070131A"/>
    <w:rsid w:val="007116C2"/>
    <w:rsid w:val="0071515E"/>
    <w:rsid w:val="00715ABD"/>
    <w:rsid w:val="007348AC"/>
    <w:rsid w:val="00734FAD"/>
    <w:rsid w:val="007450D9"/>
    <w:rsid w:val="007576DA"/>
    <w:rsid w:val="0076699A"/>
    <w:rsid w:val="0078596A"/>
    <w:rsid w:val="007A0F35"/>
    <w:rsid w:val="007B0766"/>
    <w:rsid w:val="007B1A79"/>
    <w:rsid w:val="007B20DC"/>
    <w:rsid w:val="007B3979"/>
    <w:rsid w:val="007B62B6"/>
    <w:rsid w:val="007C136A"/>
    <w:rsid w:val="007C3B3E"/>
    <w:rsid w:val="007C570A"/>
    <w:rsid w:val="007C6272"/>
    <w:rsid w:val="007D6890"/>
    <w:rsid w:val="007E241C"/>
    <w:rsid w:val="007E4A17"/>
    <w:rsid w:val="007F07BB"/>
    <w:rsid w:val="007F5ABE"/>
    <w:rsid w:val="008070C4"/>
    <w:rsid w:val="0081235C"/>
    <w:rsid w:val="008242CE"/>
    <w:rsid w:val="00836FE6"/>
    <w:rsid w:val="00840AA1"/>
    <w:rsid w:val="008533C5"/>
    <w:rsid w:val="00857217"/>
    <w:rsid w:val="00866A62"/>
    <w:rsid w:val="008723FE"/>
    <w:rsid w:val="008748C8"/>
    <w:rsid w:val="00875136"/>
    <w:rsid w:val="008777C0"/>
    <w:rsid w:val="00877AD0"/>
    <w:rsid w:val="00881237"/>
    <w:rsid w:val="00882ED5"/>
    <w:rsid w:val="0089019C"/>
    <w:rsid w:val="008A01F5"/>
    <w:rsid w:val="008A057F"/>
    <w:rsid w:val="008C724B"/>
    <w:rsid w:val="008E0CD7"/>
    <w:rsid w:val="008E1214"/>
    <w:rsid w:val="008E72D0"/>
    <w:rsid w:val="008F0A66"/>
    <w:rsid w:val="008F2F02"/>
    <w:rsid w:val="008F567D"/>
    <w:rsid w:val="00900C64"/>
    <w:rsid w:val="009019F7"/>
    <w:rsid w:val="0091667A"/>
    <w:rsid w:val="0091677C"/>
    <w:rsid w:val="00922D10"/>
    <w:rsid w:val="0094235C"/>
    <w:rsid w:val="009424DA"/>
    <w:rsid w:val="00952E40"/>
    <w:rsid w:val="00973F78"/>
    <w:rsid w:val="00976E06"/>
    <w:rsid w:val="009801D5"/>
    <w:rsid w:val="0098100C"/>
    <w:rsid w:val="009A15ED"/>
    <w:rsid w:val="009A1E14"/>
    <w:rsid w:val="009A3CEE"/>
    <w:rsid w:val="009B0BC9"/>
    <w:rsid w:val="009D2E18"/>
    <w:rsid w:val="009D3AA5"/>
    <w:rsid w:val="009E4135"/>
    <w:rsid w:val="00A172E0"/>
    <w:rsid w:val="00A17BF7"/>
    <w:rsid w:val="00A17FCD"/>
    <w:rsid w:val="00A201D6"/>
    <w:rsid w:val="00A27C07"/>
    <w:rsid w:val="00A369A6"/>
    <w:rsid w:val="00A46886"/>
    <w:rsid w:val="00A502CA"/>
    <w:rsid w:val="00A53E56"/>
    <w:rsid w:val="00A608BA"/>
    <w:rsid w:val="00A67F6E"/>
    <w:rsid w:val="00A776A3"/>
    <w:rsid w:val="00A836DC"/>
    <w:rsid w:val="00A84868"/>
    <w:rsid w:val="00A94260"/>
    <w:rsid w:val="00A95A54"/>
    <w:rsid w:val="00A96218"/>
    <w:rsid w:val="00AB0755"/>
    <w:rsid w:val="00AB59F3"/>
    <w:rsid w:val="00AC6249"/>
    <w:rsid w:val="00AF5BA7"/>
    <w:rsid w:val="00B16C2E"/>
    <w:rsid w:val="00B240EA"/>
    <w:rsid w:val="00B31D08"/>
    <w:rsid w:val="00B50210"/>
    <w:rsid w:val="00B634DA"/>
    <w:rsid w:val="00B67575"/>
    <w:rsid w:val="00B71D04"/>
    <w:rsid w:val="00B75FE2"/>
    <w:rsid w:val="00B93AA1"/>
    <w:rsid w:val="00B97A55"/>
    <w:rsid w:val="00BA2B28"/>
    <w:rsid w:val="00BA6924"/>
    <w:rsid w:val="00BB03D3"/>
    <w:rsid w:val="00BB09C3"/>
    <w:rsid w:val="00BB1C30"/>
    <w:rsid w:val="00BC16A4"/>
    <w:rsid w:val="00BD10C2"/>
    <w:rsid w:val="00BD2FB0"/>
    <w:rsid w:val="00BE2DB4"/>
    <w:rsid w:val="00BF1FD0"/>
    <w:rsid w:val="00C02398"/>
    <w:rsid w:val="00C04B7A"/>
    <w:rsid w:val="00C11449"/>
    <w:rsid w:val="00C11D38"/>
    <w:rsid w:val="00C11D6C"/>
    <w:rsid w:val="00C136B5"/>
    <w:rsid w:val="00C175C7"/>
    <w:rsid w:val="00C41215"/>
    <w:rsid w:val="00C720B7"/>
    <w:rsid w:val="00C77725"/>
    <w:rsid w:val="00C80230"/>
    <w:rsid w:val="00C82775"/>
    <w:rsid w:val="00C91CC2"/>
    <w:rsid w:val="00C937C2"/>
    <w:rsid w:val="00C96A0A"/>
    <w:rsid w:val="00CA39D3"/>
    <w:rsid w:val="00CD31FD"/>
    <w:rsid w:val="00CD508B"/>
    <w:rsid w:val="00CD7D37"/>
    <w:rsid w:val="00CF18A9"/>
    <w:rsid w:val="00D15905"/>
    <w:rsid w:val="00D21939"/>
    <w:rsid w:val="00D42383"/>
    <w:rsid w:val="00D5650A"/>
    <w:rsid w:val="00D64F60"/>
    <w:rsid w:val="00D7711D"/>
    <w:rsid w:val="00D773F4"/>
    <w:rsid w:val="00D91072"/>
    <w:rsid w:val="00DA1A9F"/>
    <w:rsid w:val="00DA3C56"/>
    <w:rsid w:val="00DA51C0"/>
    <w:rsid w:val="00DB322F"/>
    <w:rsid w:val="00DC10F6"/>
    <w:rsid w:val="00DC6FA2"/>
    <w:rsid w:val="00DF15B4"/>
    <w:rsid w:val="00DF7890"/>
    <w:rsid w:val="00E04E9E"/>
    <w:rsid w:val="00E12F78"/>
    <w:rsid w:val="00E15C35"/>
    <w:rsid w:val="00E1703A"/>
    <w:rsid w:val="00E2794C"/>
    <w:rsid w:val="00E30BE8"/>
    <w:rsid w:val="00E5518B"/>
    <w:rsid w:val="00E63873"/>
    <w:rsid w:val="00E71CD8"/>
    <w:rsid w:val="00E769CE"/>
    <w:rsid w:val="00E815B2"/>
    <w:rsid w:val="00E92CC8"/>
    <w:rsid w:val="00E95EAD"/>
    <w:rsid w:val="00EC0E27"/>
    <w:rsid w:val="00EC1FCE"/>
    <w:rsid w:val="00EC3383"/>
    <w:rsid w:val="00EC75B3"/>
    <w:rsid w:val="00EC79E0"/>
    <w:rsid w:val="00ED37D5"/>
    <w:rsid w:val="00EE4939"/>
    <w:rsid w:val="00EF08D8"/>
    <w:rsid w:val="00EF52AF"/>
    <w:rsid w:val="00F13592"/>
    <w:rsid w:val="00F24698"/>
    <w:rsid w:val="00F533F7"/>
    <w:rsid w:val="00F5687F"/>
    <w:rsid w:val="00F61133"/>
    <w:rsid w:val="00F65F36"/>
    <w:rsid w:val="00F80E06"/>
    <w:rsid w:val="00F94652"/>
    <w:rsid w:val="00F96136"/>
    <w:rsid w:val="00FB74D4"/>
    <w:rsid w:val="00FE4E5E"/>
    <w:rsid w:val="00FE73AD"/>
    <w:rsid w:val="00FE7EFC"/>
    <w:rsid w:val="0F9C0276"/>
    <w:rsid w:val="543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6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2445F-9A17-434F-A404-B361E61F5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519</Words>
  <Characters>2962</Characters>
  <Lines>24</Lines>
  <Paragraphs>6</Paragraphs>
  <ScaleCrop>false</ScaleCrop>
  <LinksUpToDate>false</LinksUpToDate>
  <CharactersWithSpaces>3475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2017-04-21T07:48:00Z</dcterms:created>
  <dc:creator>NYJ</dc:creator>
  <cp:lastModifiedBy>张爽</cp:lastModifiedBy>
  <cp:lastPrinted>2017-04-11T02:18:00Z</cp:lastPrinted>
  <dcterms:modified xsi:type="dcterms:W3CDTF">2017-05-10T03:45:17Z</dcterms:modified>
  <dc:title>国务院批转发展改革委、能源办关于加快关停小火电机组若干意见的通知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